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390320">
        <w:rPr>
          <w:rFonts w:ascii="Segoe UI" w:hAnsi="Segoe UI" w:cs="Segoe UI"/>
          <w:b/>
          <w:sz w:val="20"/>
          <w:szCs w:val="20"/>
          <w:u w:val="single"/>
        </w:rPr>
        <w:t>Příloha č. 1 V</w:t>
      </w:r>
      <w:r>
        <w:rPr>
          <w:rFonts w:ascii="Segoe UI" w:hAnsi="Segoe UI" w:cs="Segoe UI"/>
          <w:b/>
          <w:sz w:val="20"/>
          <w:szCs w:val="20"/>
          <w:u w:val="single"/>
        </w:rPr>
        <w:t>ý</w:t>
      </w:r>
      <w:r w:rsidRPr="00390320">
        <w:rPr>
          <w:rFonts w:ascii="Segoe UI" w:hAnsi="Segoe UI" w:cs="Segoe UI"/>
          <w:b/>
          <w:sz w:val="20"/>
          <w:szCs w:val="20"/>
          <w:u w:val="single"/>
        </w:rPr>
        <w:t>pis výměr  a půdorys prostor určených k </w:t>
      </w:r>
      <w:proofErr w:type="gramStart"/>
      <w:r w:rsidRPr="00390320">
        <w:rPr>
          <w:rFonts w:ascii="Segoe UI" w:hAnsi="Segoe UI" w:cs="Segoe UI"/>
          <w:b/>
          <w:sz w:val="20"/>
          <w:szCs w:val="20"/>
          <w:u w:val="single"/>
        </w:rPr>
        <w:t>rekonstrukci –stávající</w:t>
      </w:r>
      <w:proofErr w:type="gramEnd"/>
      <w:r w:rsidRPr="00390320">
        <w:rPr>
          <w:rFonts w:ascii="Segoe UI" w:hAnsi="Segoe UI" w:cs="Segoe UI"/>
          <w:b/>
          <w:sz w:val="20"/>
          <w:szCs w:val="20"/>
          <w:u w:val="single"/>
        </w:rPr>
        <w:t xml:space="preserve"> stav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Fialové prostory jsou použitelné pro přestavbu, cca 152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>.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i/>
          <w:sz w:val="20"/>
          <w:szCs w:val="20"/>
        </w:rPr>
      </w:pPr>
      <w:r w:rsidRPr="00390320">
        <w:rPr>
          <w:rFonts w:ascii="Segoe UI" w:hAnsi="Segoe UI" w:cs="Segoe UI"/>
          <w:i/>
          <w:sz w:val="20"/>
          <w:szCs w:val="20"/>
        </w:rPr>
        <w:t>Označení místností: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1.01</w:t>
      </w:r>
      <w:r w:rsidRPr="00390320">
        <w:rPr>
          <w:rFonts w:ascii="Segoe UI" w:hAnsi="Segoe UI" w:cs="Segoe UI"/>
          <w:sz w:val="20"/>
          <w:szCs w:val="20"/>
        </w:rPr>
        <w:tab/>
        <w:t>8,1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zádveří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3" o:spid="_x0000_s1027" type="#_x0000_t88" style="position:absolute;left:0;text-align:left;margin-left:218.65pt;margin-top:5.35pt;width:21pt;height:91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" adj="413" strokecolor="#4579b8 [3044]"/>
        </w:pict>
      </w:r>
      <w:r w:rsidRPr="00390320">
        <w:rPr>
          <w:rFonts w:ascii="Segoe UI" w:hAnsi="Segoe UI" w:cs="Segoe UI"/>
          <w:sz w:val="20"/>
          <w:szCs w:val="20"/>
        </w:rPr>
        <w:t>1.02</w:t>
      </w:r>
      <w:r w:rsidRPr="00390320">
        <w:rPr>
          <w:rFonts w:ascii="Segoe UI" w:hAnsi="Segoe UI" w:cs="Segoe UI"/>
          <w:sz w:val="20"/>
          <w:szCs w:val="20"/>
        </w:rPr>
        <w:tab/>
        <w:t>16,3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 xml:space="preserve">pracovna lékaře 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1.03</w:t>
      </w:r>
      <w:r w:rsidRPr="00390320">
        <w:rPr>
          <w:rFonts w:ascii="Segoe UI" w:hAnsi="Segoe UI" w:cs="Segoe UI"/>
          <w:sz w:val="20"/>
          <w:szCs w:val="20"/>
        </w:rPr>
        <w:tab/>
        <w:t>14,2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pokoj lékaře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1.04</w:t>
      </w:r>
      <w:r w:rsidRPr="00390320">
        <w:rPr>
          <w:rFonts w:ascii="Segoe UI" w:hAnsi="Segoe UI" w:cs="Segoe UI"/>
          <w:sz w:val="20"/>
          <w:szCs w:val="20"/>
        </w:rPr>
        <w:tab/>
        <w:t>14,2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pracovna lékaře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(označení z doby působení ZZS)</w:t>
      </w:r>
      <w:r w:rsidRPr="00390320">
        <w:rPr>
          <w:rFonts w:ascii="Segoe UI" w:hAnsi="Segoe UI" w:cs="Segoe UI"/>
          <w:sz w:val="20"/>
          <w:szCs w:val="20"/>
        </w:rPr>
        <w:tab/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1.05</w:t>
      </w:r>
      <w:r w:rsidRPr="00390320">
        <w:rPr>
          <w:rFonts w:ascii="Segoe UI" w:hAnsi="Segoe UI" w:cs="Segoe UI"/>
          <w:sz w:val="20"/>
          <w:szCs w:val="20"/>
        </w:rPr>
        <w:tab/>
        <w:t>14,3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pokoj lékaře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1.06</w:t>
      </w:r>
      <w:r w:rsidRPr="00390320">
        <w:rPr>
          <w:rFonts w:ascii="Segoe UI" w:hAnsi="Segoe UI" w:cs="Segoe UI"/>
          <w:sz w:val="20"/>
          <w:szCs w:val="20"/>
        </w:rPr>
        <w:tab/>
        <w:t>17,1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denní místnost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1.07</w:t>
      </w:r>
      <w:r w:rsidRPr="00390320">
        <w:rPr>
          <w:rFonts w:ascii="Segoe UI" w:hAnsi="Segoe UI" w:cs="Segoe UI"/>
          <w:sz w:val="20"/>
          <w:szCs w:val="20"/>
        </w:rPr>
        <w:tab/>
        <w:t>37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 xml:space="preserve"> 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chodba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1.08</w:t>
      </w:r>
      <w:r w:rsidRPr="00390320">
        <w:rPr>
          <w:rFonts w:ascii="Segoe UI" w:hAnsi="Segoe UI" w:cs="Segoe UI"/>
          <w:sz w:val="20"/>
          <w:szCs w:val="20"/>
        </w:rPr>
        <w:tab/>
        <w:t>7,7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 xml:space="preserve"> 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WC + sprcha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1.09</w:t>
      </w:r>
      <w:r w:rsidRPr="00390320">
        <w:rPr>
          <w:rFonts w:ascii="Segoe UI" w:hAnsi="Segoe UI" w:cs="Segoe UI"/>
          <w:sz w:val="20"/>
          <w:szCs w:val="20"/>
        </w:rPr>
        <w:tab/>
        <w:t>6,1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 xml:space="preserve"> 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sklad léků</w:t>
      </w:r>
      <w:r w:rsidRPr="00390320">
        <w:rPr>
          <w:rFonts w:ascii="Segoe UI" w:hAnsi="Segoe UI" w:cs="Segoe UI"/>
          <w:sz w:val="20"/>
          <w:szCs w:val="20"/>
        </w:rPr>
        <w:tab/>
        <w:t xml:space="preserve"> </w:t>
      </w:r>
      <w:r w:rsidRPr="00390320">
        <w:rPr>
          <w:rFonts w:ascii="Segoe UI" w:hAnsi="Segoe UI" w:cs="Segoe UI"/>
          <w:sz w:val="20"/>
          <w:szCs w:val="20"/>
        </w:rPr>
        <w:tab/>
        <w:t>(označení z doby působení ZZS)</w:t>
      </w:r>
      <w:r w:rsidRPr="00390320">
        <w:rPr>
          <w:rFonts w:ascii="Segoe UI" w:hAnsi="Segoe UI" w:cs="Segoe UI"/>
          <w:sz w:val="20"/>
          <w:szCs w:val="20"/>
        </w:rPr>
        <w:tab/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1.10</w:t>
      </w:r>
      <w:r w:rsidRPr="00390320">
        <w:rPr>
          <w:rFonts w:ascii="Segoe UI" w:hAnsi="Segoe UI" w:cs="Segoe UI"/>
          <w:sz w:val="20"/>
          <w:szCs w:val="20"/>
        </w:rPr>
        <w:tab/>
        <w:t xml:space="preserve">2,2 m2 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úklid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1.11</w:t>
      </w:r>
      <w:r w:rsidRPr="00390320">
        <w:rPr>
          <w:rFonts w:ascii="Segoe UI" w:hAnsi="Segoe UI" w:cs="Segoe UI"/>
          <w:sz w:val="20"/>
          <w:szCs w:val="20"/>
        </w:rPr>
        <w:tab/>
        <w:t>5,5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 xml:space="preserve"> 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kuchyňka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1.12</w:t>
      </w:r>
      <w:r w:rsidRPr="00390320">
        <w:rPr>
          <w:rFonts w:ascii="Segoe UI" w:hAnsi="Segoe UI" w:cs="Segoe UI"/>
          <w:sz w:val="20"/>
          <w:szCs w:val="20"/>
        </w:rPr>
        <w:tab/>
        <w:t>6,3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 xml:space="preserve"> 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sklad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 xml:space="preserve">1.14   </w:t>
      </w:r>
      <w:r w:rsidRPr="00390320">
        <w:rPr>
          <w:rFonts w:ascii="Segoe UI" w:hAnsi="Segoe UI" w:cs="Segoe UI"/>
          <w:sz w:val="20"/>
          <w:szCs w:val="20"/>
        </w:rPr>
        <w:tab/>
        <w:t>2,9 m</w:t>
      </w:r>
      <w:r w:rsidRPr="00390320">
        <w:rPr>
          <w:rFonts w:ascii="Segoe UI" w:hAnsi="Segoe UI" w:cs="Segoe UI"/>
          <w:sz w:val="20"/>
          <w:szCs w:val="20"/>
          <w:vertAlign w:val="superscript"/>
        </w:rPr>
        <w:t>2</w:t>
      </w:r>
      <w:r w:rsidRPr="00390320">
        <w:rPr>
          <w:rFonts w:ascii="Segoe UI" w:hAnsi="Segoe UI" w:cs="Segoe UI"/>
          <w:sz w:val="20"/>
          <w:szCs w:val="20"/>
        </w:rPr>
        <w:t xml:space="preserve"> </w:t>
      </w:r>
      <w:r w:rsidRPr="00390320">
        <w:rPr>
          <w:rFonts w:ascii="Segoe UI" w:hAnsi="Segoe UI" w:cs="Segoe UI"/>
          <w:sz w:val="20"/>
          <w:szCs w:val="20"/>
        </w:rPr>
        <w:tab/>
      </w:r>
      <w:r w:rsidRPr="00390320">
        <w:rPr>
          <w:rFonts w:ascii="Segoe UI" w:hAnsi="Segoe UI" w:cs="Segoe UI"/>
          <w:sz w:val="20"/>
          <w:szCs w:val="20"/>
        </w:rPr>
        <w:tab/>
        <w:t>WC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Žluté prostory jsou stávající vrátnice, dispečink a doprava.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V prostoru vrátnice 1.17 se nachází stanoviště telefonní ústředny, dohled a ovládání vjezdové závory, centrála EPS, alarm pokladny, ovládání provozu venkovního osvětlení celého areálu MNMK, záznamové zařízení kamerového systému.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10"/>
          <w:szCs w:val="20"/>
        </w:rPr>
      </w:pPr>
      <w:r w:rsidRPr="00390320">
        <w:rPr>
          <w:rFonts w:ascii="Segoe UI" w:hAnsi="Segoe UI" w:cs="Segoe UI"/>
          <w:sz w:val="20"/>
          <w:szCs w:val="20"/>
        </w:rPr>
        <w:t>Vzhledem k situaci v 2. NP, kde ještě není dokončena přestavba, tak není jisté, že nebudou zamýšlené prostory potřebné k této dostavbě (např. umístění nové UPS do prostoru 1.14).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b/>
          <w:sz w:val="20"/>
          <w:szCs w:val="20"/>
        </w:rPr>
      </w:pPr>
      <w:r w:rsidRPr="00390320"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-775970</wp:posOffset>
            </wp:positionH>
            <wp:positionV relativeFrom="margin">
              <wp:posOffset>698500</wp:posOffset>
            </wp:positionV>
            <wp:extent cx="7216775" cy="5800725"/>
            <wp:effectExtent l="19050" t="0" r="317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320">
        <w:rPr>
          <w:rFonts w:ascii="Segoe UI" w:hAnsi="Segoe UI" w:cs="Segoe UI"/>
          <w:b/>
          <w:sz w:val="20"/>
          <w:szCs w:val="20"/>
        </w:rPr>
        <w:t>PŮDORYS NABÍZENÝCH PROSTOR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b/>
          <w:sz w:val="20"/>
          <w:szCs w:val="20"/>
        </w:rPr>
      </w:pPr>
      <w:r w:rsidRPr="00390320">
        <w:rPr>
          <w:rFonts w:ascii="Segoe UI" w:hAnsi="Segoe UI" w:cs="Segoe UI"/>
          <w:b/>
          <w:sz w:val="20"/>
          <w:szCs w:val="20"/>
        </w:rPr>
        <w:t>- EVENT. LZE POUŽÍT JEŠTĚ CHODBU 1.18 JAKO SPOLEČNÝ VSTUP</w:t>
      </w: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</w:p>
    <w:p w:rsidR="00390320" w:rsidRPr="00390320" w:rsidRDefault="00390320" w:rsidP="00390320">
      <w:pPr>
        <w:pStyle w:val="Odstavecseseznamem"/>
        <w:spacing w:line="360" w:lineRule="auto"/>
        <w:rPr>
          <w:rFonts w:ascii="Segoe UI" w:hAnsi="Segoe UI" w:cs="Segoe UI"/>
          <w:sz w:val="20"/>
          <w:szCs w:val="20"/>
        </w:rPr>
      </w:pPr>
    </w:p>
    <w:p w:rsidR="00CF32D4" w:rsidRPr="00390320" w:rsidRDefault="00CF32D4"/>
    <w:sectPr w:rsidR="00CF32D4" w:rsidRPr="00390320" w:rsidSect="002F286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320"/>
    <w:rsid w:val="00390320"/>
    <w:rsid w:val="00CF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2D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32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Libunka local</dc:creator>
  <cp:lastModifiedBy>Libunka local</cp:lastModifiedBy>
  <cp:revision>1</cp:revision>
  <dcterms:created xsi:type="dcterms:W3CDTF">2018-02-14T19:06:00Z</dcterms:created>
  <dcterms:modified xsi:type="dcterms:W3CDTF">2018-02-14T19:11:00Z</dcterms:modified>
</cp:coreProperties>
</file>